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0B190" w14:textId="77777777" w:rsidR="00DA42DF" w:rsidRDefault="00110D0E" w:rsidP="00CB3827">
      <w:proofErr w:type="gramStart"/>
      <w:r w:rsidRPr="00001416">
        <w:rPr>
          <w:b/>
          <w:u w:val="single"/>
        </w:rPr>
        <w:t>BRNO</w:t>
      </w:r>
      <w:r w:rsidRPr="00001416">
        <w:rPr>
          <w:u w:val="single"/>
        </w:rPr>
        <w:t xml:space="preserve"> </w:t>
      </w:r>
      <w:r w:rsidRPr="00001416">
        <w:rPr>
          <w:b/>
          <w:u w:val="single"/>
        </w:rPr>
        <w:t>- p</w:t>
      </w:r>
      <w:r w:rsidR="00CB3827" w:rsidRPr="00001416">
        <w:rPr>
          <w:b/>
          <w:u w:val="single"/>
        </w:rPr>
        <w:t>ožadované</w:t>
      </w:r>
      <w:proofErr w:type="gramEnd"/>
      <w:r w:rsidR="00CB3827" w:rsidRPr="00001416">
        <w:rPr>
          <w:b/>
          <w:u w:val="single"/>
        </w:rPr>
        <w:t xml:space="preserve">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11D5275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celkový design svítidla, (obzvláště u </w:t>
      </w:r>
      <w:proofErr w:type="gramStart"/>
      <w:r>
        <w:t>parkových - dekoračních</w:t>
      </w:r>
      <w:proofErr w:type="gramEnd"/>
      <w:r>
        <w:t xml:space="preserve">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426E63BC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</w:t>
      </w:r>
      <w:proofErr w:type="gramStart"/>
      <w:r>
        <w:t>10 – 90</w:t>
      </w:r>
      <w:proofErr w:type="gramEnd"/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2C29B7E6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-40 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7AF1198E" w14:textId="47B9E3A4" w:rsidR="00ED3050" w:rsidRDefault="00ED3050" w:rsidP="00920633">
      <w:pPr>
        <w:spacing w:before="20"/>
      </w:pP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3C34D993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základní ochrana proti přepětí alespoň 4kV/2kA </w:t>
      </w:r>
    </w:p>
    <w:p w14:paraId="528BB125" w14:textId="1DC36299" w:rsidR="00FE201D" w:rsidRPr="009644D0" w:rsidRDefault="00FE201D">
      <w:pPr>
        <w:pStyle w:val="Odstavecseseznamem"/>
        <w:numPr>
          <w:ilvl w:val="0"/>
          <w:numId w:val="12"/>
        </w:numPr>
        <w:jc w:val="both"/>
        <w:rPr>
          <w:u w:val="single"/>
        </w:rPr>
      </w:pPr>
      <w:r w:rsidRPr="009644D0">
        <w:rPr>
          <w:u w:val="single"/>
        </w:rPr>
        <w:t>svítidlo musí být v třídě ochrany II</w:t>
      </w:r>
      <w:r w:rsidR="00913D6F" w:rsidRPr="009644D0">
        <w:rPr>
          <w:u w:val="single"/>
        </w:rPr>
        <w:t xml:space="preserve"> (vzhledem k osazení na trakční stožáry)</w:t>
      </w:r>
    </w:p>
    <w:p w14:paraId="758695CF" w14:textId="00312695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– </w:t>
      </w:r>
      <w:r w:rsidR="00913D6F" w:rsidRPr="009644D0">
        <w:rPr>
          <w:u w:val="single"/>
        </w:rPr>
        <w:t xml:space="preserve">vzhledem k tomu, že svítidlo musí být elektrické zařízení třídy ochrany II, tak musí být ochrana před přepětím připojená na rozhraní instalace a elektrického </w:t>
      </w:r>
      <w:proofErr w:type="gramStart"/>
      <w:r w:rsidR="00913D6F" w:rsidRPr="009644D0">
        <w:rPr>
          <w:u w:val="single"/>
        </w:rPr>
        <w:t>zařízení,</w:t>
      </w:r>
      <w:proofErr w:type="gramEnd"/>
      <w:r w:rsidR="00913D6F" w:rsidRPr="009644D0">
        <w:rPr>
          <w:u w:val="single"/>
        </w:rPr>
        <w:t xml:space="preserve"> čili k vodiči ochranného uzemnění PE, nikoli</w:t>
      </w:r>
      <w:r w:rsidR="00A254DC">
        <w:rPr>
          <w:u w:val="single"/>
        </w:rPr>
        <w:t>v</w:t>
      </w:r>
      <w:r w:rsidR="00913D6F" w:rsidRPr="009644D0">
        <w:rPr>
          <w:u w:val="single"/>
        </w:rPr>
        <w:t xml:space="preserve"> ke korpusu svítidla.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0578C2A2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proofErr w:type="gramStart"/>
      <w:r>
        <w:t>50 – 60</w:t>
      </w:r>
      <w:proofErr w:type="gramEnd"/>
      <w:r>
        <w:t xml:space="preserve"> Hz, při účiníku ≥ 0,95 </w:t>
      </w:r>
    </w:p>
    <w:p w14:paraId="24A64610" w14:textId="4679CBCE" w:rsidR="00036798" w:rsidRPr="00F21309" w:rsidRDefault="00036798" w:rsidP="00BA7AA2">
      <w:pPr>
        <w:pStyle w:val="Odstavecseseznamem"/>
        <w:numPr>
          <w:ilvl w:val="0"/>
          <w:numId w:val="12"/>
        </w:numPr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</w:p>
    <w:p w14:paraId="45660C97" w14:textId="77777777" w:rsidR="00036798" w:rsidRDefault="00036798">
      <w:pPr>
        <w:spacing w:after="200" w:line="276" w:lineRule="auto"/>
      </w:pP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43088AB4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Pr="00E5018E">
        <w:t xml:space="preserve"> 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5B0DB8D3" w:rsidR="00036798" w:rsidRPr="00920633" w:rsidRDefault="00FF115C" w:rsidP="00036798">
      <w:pPr>
        <w:rPr>
          <w:rFonts w:asciiTheme="minorHAnsi" w:hAnsiTheme="minorHAnsi" w:cstheme="minorHAnsi"/>
          <w:highlight w:val="lightGray"/>
        </w:rPr>
      </w:pPr>
      <w:r w:rsidRPr="00E5018E">
        <w:br/>
      </w:r>
      <w:r w:rsidR="003A67EB" w:rsidRPr="00920633">
        <w:rPr>
          <w:rFonts w:asciiTheme="minorHAnsi" w:hAnsiTheme="minorHAnsi" w:cstheme="minorHAnsi"/>
          <w:b/>
        </w:rPr>
        <w:t>Elektronika</w:t>
      </w:r>
      <w:r w:rsidR="00ED3050" w:rsidRPr="00920633">
        <w:rPr>
          <w:rFonts w:asciiTheme="minorHAnsi" w:hAnsiTheme="minorHAnsi" w:cstheme="minorHAnsi"/>
          <w:b/>
        </w:rPr>
        <w:br/>
      </w:r>
    </w:p>
    <w:p w14:paraId="069F6053" w14:textId="38785CA1" w:rsidR="001008F6" w:rsidRDefault="00B24981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stmívání, nebo vzdáleným bezdrátovým řídícím systémem s možností regulace nebo pomocí protokolu DALI.</w:t>
      </w:r>
    </w:p>
    <w:p w14:paraId="3FA60646" w14:textId="5F4B8FAF" w:rsidR="008A7BC6" w:rsidRDefault="008A7BC6" w:rsidP="00920633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39A7E992" w:rsidR="001008F6" w:rsidRPr="00A0028B" w:rsidRDefault="001008F6" w:rsidP="00920633">
      <w:pPr>
        <w:pStyle w:val="Odstavecseseznamem"/>
        <w:numPr>
          <w:ilvl w:val="0"/>
          <w:numId w:val="13"/>
        </w:numPr>
        <w:rPr>
          <w:bCs/>
        </w:rPr>
      </w:pPr>
      <w:r w:rsidRPr="00A0028B">
        <w:rPr>
          <w:b/>
        </w:rPr>
        <w:t xml:space="preserve">Korpus svítidla musí být vybaven </w:t>
      </w:r>
      <w:proofErr w:type="gramStart"/>
      <w:r w:rsidR="002A726A">
        <w:rPr>
          <w:b/>
        </w:rPr>
        <w:t xml:space="preserve">konektorem </w:t>
      </w:r>
      <w:r w:rsidRPr="00A0028B">
        <w:rPr>
          <w:b/>
        </w:rPr>
        <w:t xml:space="preserve"> </w:t>
      </w:r>
      <w:r w:rsidR="00FA2E43" w:rsidRPr="00A0028B">
        <w:rPr>
          <w:b/>
        </w:rPr>
        <w:t>NEMA</w:t>
      </w:r>
      <w:proofErr w:type="gramEnd"/>
      <w:r w:rsidR="00FA2E43" w:rsidRPr="00A0028B">
        <w:rPr>
          <w:b/>
        </w:rPr>
        <w:t xml:space="preserve">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 xml:space="preserve">zapojeném dle schématu níže a </w:t>
      </w:r>
      <w:r w:rsidR="008F2861" w:rsidRPr="00A0028B">
        <w:rPr>
          <w:b/>
        </w:rPr>
        <w:t xml:space="preserve">osazen komunikačním modulem MSB-C </w:t>
      </w:r>
      <w:proofErr w:type="spellStart"/>
      <w:r w:rsidR="008F2861" w:rsidRPr="00A0028B">
        <w:rPr>
          <w:b/>
        </w:rPr>
        <w:t>Wireless</w:t>
      </w:r>
      <w:proofErr w:type="spellEnd"/>
      <w:r w:rsidR="008F2861" w:rsidRPr="00A0028B">
        <w:rPr>
          <w:b/>
        </w:rPr>
        <w:t xml:space="preserve"> s rozhraním DALI </w:t>
      </w:r>
      <w:r w:rsidR="008F2861" w:rsidRPr="00A0028B">
        <w:t>(</w:t>
      </w:r>
      <w:r w:rsidR="008F2861" w:rsidRPr="00A0028B">
        <w:rPr>
          <w:bCs/>
        </w:rPr>
        <w:t xml:space="preserve">dodavatel spol. </w:t>
      </w:r>
      <w:proofErr w:type="spellStart"/>
      <w:r w:rsidR="008F2861" w:rsidRPr="00A0028B">
        <w:rPr>
          <w:bCs/>
        </w:rPr>
        <w:t>DATmoLUX</w:t>
      </w:r>
      <w:proofErr w:type="spellEnd"/>
      <w:r w:rsidR="008F2861" w:rsidRPr="00A0028B">
        <w:rPr>
          <w:bCs/>
        </w:rPr>
        <w:t xml:space="preserve"> a.s.,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Nováčkova 27,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Brno)</w:t>
      </w:r>
      <w:r w:rsidR="00672AFF">
        <w:rPr>
          <w:bCs/>
        </w:rPr>
        <w:t xml:space="preserve"> a to bez oživení</w:t>
      </w:r>
      <w:r w:rsidR="00D81682">
        <w:rPr>
          <w:bCs/>
        </w:rPr>
        <w:t>,</w:t>
      </w:r>
      <w:r w:rsidR="00672AFF">
        <w:rPr>
          <w:bCs/>
        </w:rPr>
        <w:t xml:space="preserve">  v jednotné  ceně</w:t>
      </w:r>
      <w:r w:rsidR="00D81682">
        <w:rPr>
          <w:bCs/>
        </w:rPr>
        <w:t xml:space="preserve"> sjednané s dodavatelem </w:t>
      </w:r>
      <w:r w:rsidR="00596085">
        <w:rPr>
          <w:bCs/>
        </w:rPr>
        <w:t>-</w:t>
      </w:r>
      <w:r w:rsidR="00D81682">
        <w:rPr>
          <w:bCs/>
        </w:rPr>
        <w:t>15</w:t>
      </w:r>
      <w:r w:rsidR="00596085">
        <w:rPr>
          <w:bCs/>
        </w:rPr>
        <w:t>86</w:t>
      </w:r>
      <w:r w:rsidR="00D81682">
        <w:rPr>
          <w:bCs/>
        </w:rPr>
        <w:t xml:space="preserve"> Kč/ks</w:t>
      </w:r>
      <w:r w:rsidRPr="00A0028B">
        <w:rPr>
          <w:bCs/>
        </w:rPr>
        <w:t>.</w:t>
      </w:r>
    </w:p>
    <w:p w14:paraId="2E5AE80E" w14:textId="727BC262" w:rsidR="00B24981" w:rsidRDefault="006F6493" w:rsidP="00920633">
      <w:pPr>
        <w:pStyle w:val="Odstavecseseznamem"/>
        <w:numPr>
          <w:ilvl w:val="0"/>
          <w:numId w:val="13"/>
        </w:numPr>
        <w:jc w:val="both"/>
      </w:pPr>
      <w:r w:rsidRPr="00A0028B">
        <w:t xml:space="preserve">Modul pro </w:t>
      </w:r>
      <w:r w:rsidR="00E660BF" w:rsidRPr="00A0028B">
        <w:t xml:space="preserve">komunikaci se </w:t>
      </w:r>
      <w:r w:rsidRPr="00A0028B">
        <w:t>světeln</w:t>
      </w:r>
      <w:r w:rsidR="00E660BF" w:rsidRPr="00A0028B">
        <w:t xml:space="preserve">ým </w:t>
      </w:r>
      <w:r w:rsidRPr="00A0028B">
        <w:t>bod</w:t>
      </w:r>
      <w:r w:rsidR="00E660BF" w:rsidRPr="00A0028B">
        <w:t>em</w:t>
      </w:r>
      <w:r w:rsidR="004C1321" w:rsidRPr="00A0028B">
        <w:t xml:space="preserve"> </w:t>
      </w:r>
      <w:r w:rsidRPr="00A0028B">
        <w:t xml:space="preserve">musí být </w:t>
      </w:r>
      <w:r w:rsidR="003D7BC4" w:rsidRPr="00A0028B">
        <w:t xml:space="preserve">u výložníkových svítidel </w:t>
      </w:r>
      <w:r w:rsidRPr="00A0028B">
        <w:t>umístěn uvnitř, popř.</w:t>
      </w:r>
      <w:r w:rsidR="004C1321" w:rsidRPr="00A0028B">
        <w:t xml:space="preserve"> </w:t>
      </w:r>
      <w:r w:rsidRPr="00A0028B">
        <w:t>na povrchu svítidla</w:t>
      </w:r>
      <w:r w:rsidR="003D7BC4" w:rsidRPr="00A0028B">
        <w:t>. U parkových (dekoračních) svítidel</w:t>
      </w:r>
      <w:r w:rsidR="003D7BC4">
        <w:t xml:space="preserve"> je možná varianta i mimo vlastní svítidlo</w:t>
      </w:r>
    </w:p>
    <w:p w14:paraId="7085274B" w14:textId="5BEC0BB2" w:rsidR="003A67EB" w:rsidRDefault="003A67EB">
      <w:pPr>
        <w:pStyle w:val="Odstavecseseznamem"/>
        <w:numPr>
          <w:ilvl w:val="0"/>
          <w:numId w:val="13"/>
        </w:numPr>
      </w:pPr>
      <w:r>
        <w:t>technologie postupného automatického navyšování výkonu po dobu životnosti svítidla</w:t>
      </w:r>
      <w:r w:rsidR="004F760A">
        <w:t xml:space="preserve"> nutností</w:t>
      </w:r>
    </w:p>
    <w:p w14:paraId="3F4149A7" w14:textId="77777777" w:rsidR="003A67EB" w:rsidRDefault="003A67EB" w:rsidP="00CB3827"/>
    <w:p w14:paraId="46B36A9A" w14:textId="54E6AB95" w:rsidR="002E2212" w:rsidRPr="00E5018E" w:rsidRDefault="00DA42DF" w:rsidP="00CB3827">
      <w:pPr>
        <w:rPr>
          <w:b/>
          <w:color w:val="FF0000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920633">
        <w:rPr>
          <w:rFonts w:asciiTheme="minorHAnsi" w:hAnsiTheme="minorHAnsi" w:cstheme="minorHAnsi"/>
          <w:bCs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>
        <w:t>10</w:t>
      </w:r>
      <w:r>
        <w:t xml:space="preserve"> </w:t>
      </w:r>
      <w:proofErr w:type="gramStart"/>
      <w:r>
        <w:t>let</w:t>
      </w:r>
      <w:proofErr w:type="gramEnd"/>
      <w:r>
        <w:t xml:space="preserve"> a to na všechny jeho s</w:t>
      </w:r>
      <w:r w:rsidR="00ED3050">
        <w:t>oučásti i plnou funkčnost</w:t>
      </w:r>
    </w:p>
    <w:p w14:paraId="6C0D751A" w14:textId="0DAE04FD" w:rsidR="001668D6" w:rsidRDefault="00CB3827" w:rsidP="00920633">
      <w:pPr>
        <w:pStyle w:val="Odstavecseseznamem"/>
        <w:numPr>
          <w:ilvl w:val="0"/>
          <w:numId w:val="13"/>
        </w:num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5B525A82" w14:textId="72444103" w:rsidR="00036798" w:rsidRDefault="00036798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Normy a standardy</w:t>
      </w:r>
    </w:p>
    <w:p w14:paraId="6A9D90CA" w14:textId="33B0164C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o technických požadavcích na výrobky a o změně a doplnění některých zákonů. Tento zákon nahradil zákon č.22 /1997 který navazoval na zákon č. 142/1991 Sb., o československých technických </w:t>
      </w:r>
      <w:proofErr w:type="gramStart"/>
      <w:r w:rsidRPr="00920633">
        <w:rPr>
          <w:rFonts w:asciiTheme="minorHAnsi" w:hAnsiTheme="minorHAnsi" w:cstheme="minorHAnsi"/>
          <w:sz w:val="22"/>
          <w:szCs w:val="22"/>
        </w:rPr>
        <w:t>normách</w:t>
      </w:r>
      <w:proofErr w:type="gramEnd"/>
      <w:r w:rsidRPr="00920633">
        <w:rPr>
          <w:rFonts w:asciiTheme="minorHAnsi" w:hAnsiTheme="minorHAnsi" w:cstheme="minorHAnsi"/>
          <w:sz w:val="22"/>
          <w:szCs w:val="22"/>
        </w:rPr>
        <w:t> který rozlišil technické předpisy, technické normy a zavedl pojem harmonizované normy. 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90/2016 Sb. bylo vydána nařízení) pro výrobky z hlediska jejich elektromagnetické kompatibility (dle NV č. 117/2016 Sb., zák. č. 90/2016 Sb. i zák. č. 91/2016 Sb., zák. č. 64/2014 Sb., zák. č. 100/2013 Sb., zák. č. 34/2011 Sb., zák. č. 155/2010 Sb., zák. č. 490/2009 Sb. a zák. č. 22/1997 Sb. a dle výrobkových norem i evropských Směrnic 2004/108/ES,</w:t>
      </w: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431F319F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 xml:space="preserve">certifikátem C </w:t>
      </w:r>
      <w:proofErr w:type="gramStart"/>
      <w:r w:rsidR="002A726A">
        <w:t xml:space="preserve">E </w:t>
      </w:r>
      <w:r w:rsidR="00036798">
        <w:t xml:space="preserve"> s</w:t>
      </w:r>
      <w:r w:rsidR="00CB3827">
        <w:t>vítidlo</w:t>
      </w:r>
      <w:proofErr w:type="gramEnd"/>
      <w:r w:rsidR="00CB3827">
        <w:t xml:space="preserve"> musí splňovat normy </w:t>
      </w:r>
      <w:r w:rsidR="00036798">
        <w:t>2</w:t>
      </w:r>
      <w:r w:rsidR="00CB3827">
        <w:t>004/108/EC, 2006/95/EC, 2011/65/EC, 2009/125/EC, 1194/2012/EU, EN 60598, EN 62471, EN 55015, EN 61000, EN 62493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2014</w:t>
      </w:r>
      <w:r w:rsidR="004C1321">
        <w:t>:01 PAK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0EF0720D" w:rsidR="00D43FC2" w:rsidRDefault="00193E5B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479798B1">
            <wp:simplePos x="0" y="0"/>
            <wp:positionH relativeFrom="margin">
              <wp:posOffset>70485</wp:posOffset>
            </wp:positionH>
            <wp:positionV relativeFrom="paragraph">
              <wp:posOffset>115570</wp:posOffset>
            </wp:positionV>
            <wp:extent cx="5334000" cy="411861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118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1D94C5" w14:textId="6D2B551F" w:rsidR="00857382" w:rsidRDefault="00857382" w:rsidP="005145E6">
      <w:pPr>
        <w:spacing w:after="200" w:line="276" w:lineRule="auto"/>
        <w:jc w:val="both"/>
      </w:pPr>
      <w:r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…………………..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Teplota chromatičnosti dle typu komunikace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CN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2C980872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3000±200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4E2FBC3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10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920633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18547AFA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57020D81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04CCFFF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  <w:r w:rsidR="00B228DB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635E7833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„DALI“, autonomní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stmívaní svět.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toku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3381C77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(</w:t>
                  </w:r>
                  <w:r w:rsidR="007E3219">
                    <w:rPr>
                      <w:rFonts w:ascii="Arial" w:hAnsi="Arial" w:cs="Arial"/>
                      <w:sz w:val="15"/>
                      <w:szCs w:val="15"/>
                    </w:rPr>
                    <w:t xml:space="preserve">osazeno komunikačním modulem MSB-C </w:t>
                  </w:r>
                  <w:proofErr w:type="spellStart"/>
                  <w:r w:rsidR="007E3219">
                    <w:rPr>
                      <w:rFonts w:ascii="Arial" w:hAnsi="Arial" w:cs="Arial"/>
                      <w:sz w:val="15"/>
                      <w:szCs w:val="15"/>
                    </w:rPr>
                    <w:t>Wireless</w:t>
                  </w:r>
                  <w:proofErr w:type="spellEnd"/>
                  <w:r w:rsidR="007E3219">
                    <w:rPr>
                      <w:rFonts w:ascii="Arial" w:hAnsi="Arial" w:cs="Arial"/>
                      <w:sz w:val="15"/>
                      <w:szCs w:val="15"/>
                    </w:rPr>
                    <w:t xml:space="preserve"> s rozhraním DALI).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1D398D7E" w14:textId="15292590" w:rsidR="00B15E34" w:rsidRDefault="00B15E34" w:rsidP="00B15E34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3"/>
          <w:szCs w:val="23"/>
        </w:rPr>
        <w:t>*</w:t>
      </w:r>
      <w:proofErr w:type="gramStart"/>
      <w:r>
        <w:rPr>
          <w:rFonts w:ascii="Arial" w:hAnsi="Arial" w:cs="Arial"/>
          <w:sz w:val="16"/>
          <w:szCs w:val="16"/>
        </w:rPr>
        <w:t>C</w:t>
      </w:r>
      <w:r w:rsidR="00A254DC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</w:rPr>
        <w:t xml:space="preserve"> </w:t>
      </w:r>
      <w:r w:rsidRPr="00B15E34">
        <w:rPr>
          <w:rFonts w:ascii="Arial" w:hAnsi="Arial" w:cs="Arial"/>
          <w:sz w:val="16"/>
          <w:szCs w:val="16"/>
        </w:rPr>
        <w:t>vzhledem</w:t>
      </w:r>
      <w:proofErr w:type="gramEnd"/>
      <w:r w:rsidRPr="00B15E34">
        <w:rPr>
          <w:rFonts w:ascii="Arial" w:hAnsi="Arial" w:cs="Arial"/>
          <w:sz w:val="16"/>
          <w:szCs w:val="16"/>
        </w:rPr>
        <w:t xml:space="preserve"> k tomu, že svítidlo musí být elektrické zařízení třídy ochrany II, tak musí být ochrana před přepětím připojená na </w:t>
      </w:r>
      <w:r>
        <w:rPr>
          <w:rFonts w:ascii="Arial" w:hAnsi="Arial" w:cs="Arial"/>
          <w:sz w:val="16"/>
          <w:szCs w:val="16"/>
        </w:rPr>
        <w:t xml:space="preserve"> </w:t>
      </w:r>
    </w:p>
    <w:p w14:paraId="43F5ED58" w14:textId="6692C347" w:rsidR="00B15E34" w:rsidRDefault="00B15E34" w:rsidP="00B15E34">
      <w:pPr>
        <w:jc w:val="both"/>
      </w:pPr>
      <w:r>
        <w:rPr>
          <w:rFonts w:ascii="Arial" w:hAnsi="Arial" w:cs="Arial"/>
          <w:sz w:val="16"/>
          <w:szCs w:val="16"/>
        </w:rPr>
        <w:t xml:space="preserve">          </w:t>
      </w:r>
      <w:r w:rsidRPr="00B15E34">
        <w:rPr>
          <w:rFonts w:ascii="Arial" w:hAnsi="Arial" w:cs="Arial"/>
          <w:sz w:val="16"/>
          <w:szCs w:val="16"/>
        </w:rPr>
        <w:t>rozhraní instalace a elektrického zařízení čili k vodiči ochranného uzemnění PE, nikoli</w:t>
      </w:r>
      <w:r w:rsidR="00A254DC">
        <w:rPr>
          <w:rFonts w:ascii="Arial" w:hAnsi="Arial" w:cs="Arial"/>
          <w:sz w:val="16"/>
          <w:szCs w:val="16"/>
        </w:rPr>
        <w:t>v</w:t>
      </w:r>
      <w:r w:rsidRPr="00B15E34">
        <w:rPr>
          <w:rFonts w:ascii="Arial" w:hAnsi="Arial" w:cs="Arial"/>
          <w:sz w:val="16"/>
          <w:szCs w:val="16"/>
        </w:rPr>
        <w:t xml:space="preserve"> ke korpusu svítidla</w:t>
      </w:r>
    </w:p>
    <w:p w14:paraId="46B8D62D" w14:textId="1923E3D1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proofErr w:type="gramStart"/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po</w:t>
      </w:r>
      <w:proofErr w:type="gramEnd"/>
      <w:r w:rsidRPr="003F7C2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A7D9B" w14:textId="77777777" w:rsidR="008F61A8" w:rsidRDefault="008F61A8" w:rsidP="00F20391">
      <w:r>
        <w:separator/>
      </w:r>
    </w:p>
  </w:endnote>
  <w:endnote w:type="continuationSeparator" w:id="0">
    <w:p w14:paraId="5B74EA98" w14:textId="77777777" w:rsidR="008F61A8" w:rsidRDefault="008F61A8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AD5A8" w14:textId="77777777" w:rsidR="008F61A8" w:rsidRDefault="008F61A8" w:rsidP="00F20391">
      <w:r>
        <w:separator/>
      </w:r>
    </w:p>
  </w:footnote>
  <w:footnote w:type="continuationSeparator" w:id="0">
    <w:p w14:paraId="4513A486" w14:textId="77777777" w:rsidR="008F61A8" w:rsidRDefault="008F61A8" w:rsidP="00F20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1"/>
  </w:num>
  <w:num w:numId="5">
    <w:abstractNumId w:val="0"/>
  </w:num>
  <w:num w:numId="6">
    <w:abstractNumId w:val="10"/>
  </w:num>
  <w:num w:numId="7">
    <w:abstractNumId w:val="15"/>
  </w:num>
  <w:num w:numId="8">
    <w:abstractNumId w:val="5"/>
  </w:num>
  <w:num w:numId="9">
    <w:abstractNumId w:val="4"/>
  </w:num>
  <w:num w:numId="10">
    <w:abstractNumId w:val="1"/>
  </w:num>
  <w:num w:numId="11">
    <w:abstractNumId w:val="13"/>
  </w:num>
  <w:num w:numId="12">
    <w:abstractNumId w:val="8"/>
  </w:num>
  <w:num w:numId="13">
    <w:abstractNumId w:val="14"/>
  </w:num>
  <w:num w:numId="14">
    <w:abstractNumId w:val="6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C7930"/>
    <w:rsid w:val="000E01C8"/>
    <w:rsid w:val="000E14E4"/>
    <w:rsid w:val="000E5318"/>
    <w:rsid w:val="000F7AE2"/>
    <w:rsid w:val="001008F6"/>
    <w:rsid w:val="00110D0E"/>
    <w:rsid w:val="00110FE7"/>
    <w:rsid w:val="001212A0"/>
    <w:rsid w:val="00136387"/>
    <w:rsid w:val="00150288"/>
    <w:rsid w:val="001668D6"/>
    <w:rsid w:val="001677E2"/>
    <w:rsid w:val="0017102A"/>
    <w:rsid w:val="00193E5B"/>
    <w:rsid w:val="001A03CB"/>
    <w:rsid w:val="001A462A"/>
    <w:rsid w:val="001D1211"/>
    <w:rsid w:val="001F5E00"/>
    <w:rsid w:val="002047C5"/>
    <w:rsid w:val="0021155E"/>
    <w:rsid w:val="002206F9"/>
    <w:rsid w:val="00220B7E"/>
    <w:rsid w:val="00247CAD"/>
    <w:rsid w:val="0026422C"/>
    <w:rsid w:val="00274A9B"/>
    <w:rsid w:val="002750DD"/>
    <w:rsid w:val="0028529D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55D81"/>
    <w:rsid w:val="0035610C"/>
    <w:rsid w:val="00362C2E"/>
    <w:rsid w:val="00364799"/>
    <w:rsid w:val="00373AC1"/>
    <w:rsid w:val="003748CA"/>
    <w:rsid w:val="003A67EB"/>
    <w:rsid w:val="003B26F9"/>
    <w:rsid w:val="003C1B09"/>
    <w:rsid w:val="003D0D19"/>
    <w:rsid w:val="003D7BC4"/>
    <w:rsid w:val="003E6F3A"/>
    <w:rsid w:val="003F51F5"/>
    <w:rsid w:val="00401D4C"/>
    <w:rsid w:val="00412BEE"/>
    <w:rsid w:val="00421C22"/>
    <w:rsid w:val="00421F47"/>
    <w:rsid w:val="004275F1"/>
    <w:rsid w:val="00434185"/>
    <w:rsid w:val="00434C96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40023"/>
    <w:rsid w:val="005514F3"/>
    <w:rsid w:val="00556651"/>
    <w:rsid w:val="00565B88"/>
    <w:rsid w:val="005714C4"/>
    <w:rsid w:val="005908CD"/>
    <w:rsid w:val="0059380B"/>
    <w:rsid w:val="00596085"/>
    <w:rsid w:val="005F4984"/>
    <w:rsid w:val="00616212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F6493"/>
    <w:rsid w:val="007051EB"/>
    <w:rsid w:val="007122F7"/>
    <w:rsid w:val="00714944"/>
    <w:rsid w:val="007451CB"/>
    <w:rsid w:val="00773618"/>
    <w:rsid w:val="0078038F"/>
    <w:rsid w:val="00781ED8"/>
    <w:rsid w:val="00794CEC"/>
    <w:rsid w:val="007A4ED6"/>
    <w:rsid w:val="007A4FA1"/>
    <w:rsid w:val="007B0FCB"/>
    <w:rsid w:val="007D1B2C"/>
    <w:rsid w:val="007E1C31"/>
    <w:rsid w:val="007E3219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55B78"/>
    <w:rsid w:val="00857382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8F61A8"/>
    <w:rsid w:val="00910F5B"/>
    <w:rsid w:val="00913734"/>
    <w:rsid w:val="00913D6F"/>
    <w:rsid w:val="00916581"/>
    <w:rsid w:val="00920633"/>
    <w:rsid w:val="00923212"/>
    <w:rsid w:val="009502CB"/>
    <w:rsid w:val="00950379"/>
    <w:rsid w:val="0096035B"/>
    <w:rsid w:val="009644D0"/>
    <w:rsid w:val="00964C79"/>
    <w:rsid w:val="00971577"/>
    <w:rsid w:val="009A7AEF"/>
    <w:rsid w:val="009B2B2B"/>
    <w:rsid w:val="009B58CD"/>
    <w:rsid w:val="009C4C63"/>
    <w:rsid w:val="009E23F0"/>
    <w:rsid w:val="00A0028B"/>
    <w:rsid w:val="00A15C4B"/>
    <w:rsid w:val="00A16A1D"/>
    <w:rsid w:val="00A248D9"/>
    <w:rsid w:val="00A254DC"/>
    <w:rsid w:val="00A32C0D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45A4"/>
    <w:rsid w:val="00AD554C"/>
    <w:rsid w:val="00AD7D24"/>
    <w:rsid w:val="00AF4BB4"/>
    <w:rsid w:val="00B00F42"/>
    <w:rsid w:val="00B055BD"/>
    <w:rsid w:val="00B15E34"/>
    <w:rsid w:val="00B222AC"/>
    <w:rsid w:val="00B228DB"/>
    <w:rsid w:val="00B24981"/>
    <w:rsid w:val="00B4546C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1617A"/>
    <w:rsid w:val="00C30D09"/>
    <w:rsid w:val="00C31D81"/>
    <w:rsid w:val="00C328F9"/>
    <w:rsid w:val="00C50AE8"/>
    <w:rsid w:val="00C51DFD"/>
    <w:rsid w:val="00C61CC0"/>
    <w:rsid w:val="00C62564"/>
    <w:rsid w:val="00C65144"/>
    <w:rsid w:val="00C67C7B"/>
    <w:rsid w:val="00C847AA"/>
    <w:rsid w:val="00CA4BB7"/>
    <w:rsid w:val="00CB3827"/>
    <w:rsid w:val="00CB3917"/>
    <w:rsid w:val="00CC086E"/>
    <w:rsid w:val="00CF2FE3"/>
    <w:rsid w:val="00CF4078"/>
    <w:rsid w:val="00D006AA"/>
    <w:rsid w:val="00D437A4"/>
    <w:rsid w:val="00D43FC2"/>
    <w:rsid w:val="00D72124"/>
    <w:rsid w:val="00D81682"/>
    <w:rsid w:val="00D8707F"/>
    <w:rsid w:val="00D9771B"/>
    <w:rsid w:val="00DA2B6C"/>
    <w:rsid w:val="00DA42DF"/>
    <w:rsid w:val="00DB2173"/>
    <w:rsid w:val="00DB595C"/>
    <w:rsid w:val="00DB68AB"/>
    <w:rsid w:val="00DD3C30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6D51"/>
    <w:rsid w:val="00EB3133"/>
    <w:rsid w:val="00EB543D"/>
    <w:rsid w:val="00ED16D9"/>
    <w:rsid w:val="00ED228A"/>
    <w:rsid w:val="00ED3050"/>
    <w:rsid w:val="00ED63AC"/>
    <w:rsid w:val="00EE458F"/>
    <w:rsid w:val="00EF32C2"/>
    <w:rsid w:val="00F10726"/>
    <w:rsid w:val="00F12E5D"/>
    <w:rsid w:val="00F172F7"/>
    <w:rsid w:val="00F20391"/>
    <w:rsid w:val="00F21309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28BD5-9AE4-4A69-9B9D-04E28665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1404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Styblikova Kristyna</cp:lastModifiedBy>
  <cp:revision>26</cp:revision>
  <cp:lastPrinted>2020-04-15T10:22:00Z</cp:lastPrinted>
  <dcterms:created xsi:type="dcterms:W3CDTF">2020-05-07T11:43:00Z</dcterms:created>
  <dcterms:modified xsi:type="dcterms:W3CDTF">2021-05-14T08:27:00Z</dcterms:modified>
</cp:coreProperties>
</file>